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Componentes del sistema</w:t>
      </w:r>
    </w:p>
    <w:p/>
    <w:p>
      <w:pPr/>
      <w:r>
        <w:rPr>
          <w:b w:val="1"/>
          <w:bCs w:val="1"/>
        </w:rPr>
        <w:t xml:space="preserve">Interfaz IPI100 KNX-S IP</w:t>
      </w:r>
    </w:p>
    <w:p>
      <w:pPr/>
      <w:r>
        <w:rPr>
          <w:b w:val="1"/>
          <w:bCs w:val="1"/>
        </w:rPr>
        <w:t xml:space="preserve"/>
      </w:r>
    </w:p>
    <w:p/>
    <w:p>
      <w:pPr/>
      <w:r>
        <w:rPr/>
        <w:t xml:space="preserve">Garantía de fabricante: 5 años;UE1, EAN: 4007841095963;Tipo de montaje: Otros;Tensión de alimentación detalle: Bus KNX;KNX Medium: TP 256;KNX Secure: Sí;Producto categoría: Componentes del sistema;Consumo de corriente bus - entrada: 20 mA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095963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Interfaz IPI100 KNX-S IP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2026-09-30T09:28:32+02:00</dcterms:created>
  <dcterms:modified xsi:type="dcterms:W3CDTF">2026-09-30T09:28:32+02:00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